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321" w:firstLineChars="100"/>
        <w:textAlignment w:val="auto"/>
        <w:rPr>
          <w:rFonts w:hint="default" w:ascii="仿宋" w:hAnsi="仿宋" w:eastAsia="仿宋" w:cs="仿宋"/>
          <w:sz w:val="28"/>
          <w:szCs w:val="28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u w:val="single"/>
          <w:lang w:val="en-US" w:eastAsia="zh-CN"/>
        </w:rPr>
        <w:t xml:space="preserve"> 评分标准</w:t>
      </w:r>
    </w:p>
    <w:tbl>
      <w:tblPr>
        <w:tblStyle w:val="3"/>
        <w:tblW w:w="10470" w:type="dxa"/>
        <w:tblInd w:w="-8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0"/>
        <w:gridCol w:w="7410"/>
        <w:gridCol w:w="840"/>
        <w:gridCol w:w="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380" w:type="dxa"/>
            <w:noWrap w:val="0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pacing w:val="20"/>
                <w:sz w:val="24"/>
              </w:rPr>
              <w:t>评分项目</w:t>
            </w:r>
          </w:p>
        </w:tc>
        <w:tc>
          <w:tcPr>
            <w:tcW w:w="7410" w:type="dxa"/>
            <w:noWrap w:val="0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pacing w:val="20"/>
                <w:sz w:val="24"/>
              </w:rPr>
              <w:t>评分细则（满分100分）</w:t>
            </w:r>
          </w:p>
        </w:tc>
        <w:tc>
          <w:tcPr>
            <w:tcW w:w="840" w:type="dxa"/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color w:val="auto"/>
                <w:spacing w:val="2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color w:val="auto"/>
                <w:spacing w:val="20"/>
                <w:sz w:val="24"/>
                <w:lang w:eastAsia="zh-CN"/>
              </w:rPr>
              <w:t>分值</w:t>
            </w:r>
          </w:p>
        </w:tc>
        <w:tc>
          <w:tcPr>
            <w:tcW w:w="840" w:type="dxa"/>
            <w:noWrap w:val="0"/>
            <w:vAlign w:val="center"/>
          </w:tcPr>
          <w:p>
            <w:pPr>
              <w:spacing w:line="276" w:lineRule="auto"/>
              <w:jc w:val="center"/>
              <w:rPr>
                <w:rFonts w:hint="eastAsia" w:ascii="仿宋" w:hAnsi="仿宋" w:eastAsia="仿宋"/>
                <w:b/>
                <w:color w:val="auto"/>
                <w:spacing w:val="20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pacing w:val="20"/>
                <w:sz w:val="24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0" w:type="dxa"/>
            <w:noWrap w:val="0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pacing w:val="20"/>
                <w:sz w:val="24"/>
              </w:rPr>
              <w:t>服务团队</w:t>
            </w:r>
          </w:p>
        </w:tc>
        <w:tc>
          <w:tcPr>
            <w:tcW w:w="7410" w:type="dxa"/>
            <w:noWrap w:val="0"/>
            <w:vAlign w:val="top"/>
          </w:tcPr>
          <w:p>
            <w:p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1、根据投标人常驻河源地区的服务团队人数进行评审：</w:t>
            </w:r>
          </w:p>
          <w:p>
            <w:pPr>
              <w:numPr>
                <w:ilvl w:val="0"/>
                <w:numId w:val="1"/>
              </w:num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人数在10人或以上的：得15分；</w:t>
            </w:r>
          </w:p>
          <w:p>
            <w:pPr>
              <w:numPr>
                <w:ilvl w:val="0"/>
                <w:numId w:val="1"/>
              </w:num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人数在7-9人的：得8分；</w:t>
            </w:r>
          </w:p>
          <w:p>
            <w:pPr>
              <w:numPr>
                <w:ilvl w:val="0"/>
                <w:numId w:val="1"/>
              </w:num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人数在4-6人的：得1分；</w:t>
            </w:r>
          </w:p>
          <w:p>
            <w:pPr>
              <w:numPr>
                <w:ilvl w:val="0"/>
                <w:numId w:val="1"/>
              </w:num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其他不得分；</w:t>
            </w:r>
          </w:p>
          <w:p>
            <w:p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2、如服务团队中有取得中级或以上职称的，每提供一个得10分；最高得20分；</w:t>
            </w:r>
          </w:p>
          <w:p>
            <w:p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注：本项满分35分，提供上述人员须在投标单位缴纳的近三个月（以发布采购公告之日止）社保证明及相关证书复印件，不提供不得分。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35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0" w:type="dxa"/>
            <w:noWrap w:val="0"/>
            <w:vAlign w:val="center"/>
          </w:tcPr>
          <w:p>
            <w:pPr>
              <w:tabs>
                <w:tab w:val="left" w:pos="1996"/>
              </w:tabs>
              <w:spacing w:line="276" w:lineRule="auto"/>
              <w:ind w:right="-23"/>
              <w:jc w:val="center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pacing w:val="20"/>
                <w:sz w:val="24"/>
              </w:rPr>
              <w:t>综合实力</w:t>
            </w:r>
          </w:p>
        </w:tc>
        <w:tc>
          <w:tcPr>
            <w:tcW w:w="7410" w:type="dxa"/>
            <w:noWrap w:val="0"/>
            <w:vAlign w:val="top"/>
          </w:tcPr>
          <w:p>
            <w:p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根据投标人获得荣誉证书或用户好评情况进行横向比较：</w:t>
            </w:r>
          </w:p>
          <w:p>
            <w:p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优：</w:t>
            </w:r>
            <w:r>
              <w:rPr>
                <w:rFonts w:hint="eastAsia" w:asciiTheme="minorEastAsia" w:hAnsiTheme="minorEastAsia" w:cstheme="minorEastAsia"/>
                <w:color w:val="auto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分；良：</w:t>
            </w:r>
            <w:r>
              <w:rPr>
                <w:rFonts w:hint="eastAsia" w:asciiTheme="minorEastAsia" w:hAnsiTheme="minorEastAsia" w:cstheme="minorEastAsia"/>
                <w:color w:val="auto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分；差：</w:t>
            </w:r>
            <w:r>
              <w:rPr>
                <w:rFonts w:hint="eastAsia" w:asciiTheme="minorEastAsia" w:hAnsiTheme="minorEastAsia" w:cstheme="minorEastAsia"/>
                <w:color w:val="auto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分。</w:t>
            </w:r>
          </w:p>
          <w:p>
            <w:pPr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pacing w:val="2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注：须提供相关证明材料。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</w:pPr>
          </w:p>
          <w:p>
            <w:pPr>
              <w:bidi w:val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10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1380" w:type="dxa"/>
            <w:vMerge w:val="restart"/>
            <w:noWrap w:val="0"/>
            <w:vAlign w:val="center"/>
          </w:tcPr>
          <w:p>
            <w:pPr>
              <w:spacing w:line="276" w:lineRule="auto"/>
              <w:ind w:right="-23"/>
              <w:jc w:val="center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pacing w:val="20"/>
                <w:sz w:val="24"/>
              </w:rPr>
              <w:t>服务方案</w:t>
            </w:r>
          </w:p>
        </w:tc>
        <w:tc>
          <w:tcPr>
            <w:tcW w:w="7410" w:type="dxa"/>
            <w:noWrap w:val="0"/>
            <w:vAlign w:val="top"/>
          </w:tcPr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对投标人的总体实施纲进行评审：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1</w:t>
            </w:r>
            <w:r>
              <w:rPr>
                <w:rFonts w:hint="eastAsia" w:ascii="宋体" w:hAnsi="宋体" w:cs="宋体"/>
                <w:szCs w:val="21"/>
              </w:rPr>
              <w:t>）项目的总体实方案要全面、合理，对本项目的理解准确、客观的，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>服务配合协调措施完善、可行得</w:t>
            </w:r>
            <w:r>
              <w:rPr>
                <w:rFonts w:ascii="宋体" w:hAnsi="宋体" w:cs="宋体"/>
                <w:szCs w:val="21"/>
              </w:rPr>
              <w:t xml:space="preserve"> 1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）项目的总体实施纲要较全面、较合理，对本项目的理解较客观的，服务配合协调措施较可行得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3</w:t>
            </w:r>
            <w:r>
              <w:rPr>
                <w:rFonts w:hint="eastAsia" w:ascii="宋体" w:hAnsi="宋体" w:cs="宋体"/>
                <w:szCs w:val="21"/>
              </w:rPr>
              <w:t>）项目的总体实施纲要较完整，对本项目的理解不全面，服务配合协调措施可行性较差得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276" w:lineRule="auto"/>
              <w:ind w:right="-23"/>
              <w:rPr>
                <w:rFonts w:hint="eastAsia" w:ascii="仿宋" w:hAnsi="仿宋" w:eastAsia="仿宋"/>
                <w:color w:val="auto"/>
                <w:spacing w:val="20"/>
                <w:sz w:val="24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4</w:t>
            </w:r>
            <w:r>
              <w:rPr>
                <w:rFonts w:hint="eastAsia" w:ascii="宋体" w:hAnsi="宋体" w:cs="宋体"/>
                <w:szCs w:val="21"/>
              </w:rPr>
              <w:t>）项目的总体实施纲缺失，可行性差，得</w:t>
            </w:r>
            <w:r>
              <w:rPr>
                <w:rFonts w:ascii="宋体" w:hAnsi="宋体" w:cs="宋体"/>
                <w:szCs w:val="21"/>
              </w:rPr>
              <w:t>0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15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380" w:type="dxa"/>
            <w:vMerge w:val="continue"/>
            <w:noWrap w:val="0"/>
            <w:vAlign w:val="center"/>
          </w:tcPr>
          <w:p>
            <w:pPr>
              <w:spacing w:line="276" w:lineRule="auto"/>
              <w:ind w:right="-23"/>
              <w:jc w:val="center"/>
              <w:rPr>
                <w:rFonts w:hint="eastAsia" w:ascii="仿宋" w:hAnsi="仿宋" w:eastAsia="仿宋"/>
                <w:b/>
                <w:color w:val="auto"/>
                <w:spacing w:val="20"/>
                <w:sz w:val="24"/>
                <w:lang w:eastAsia="zh-CN"/>
              </w:rPr>
            </w:pPr>
          </w:p>
        </w:tc>
        <w:tc>
          <w:tcPr>
            <w:tcW w:w="7410" w:type="dxa"/>
            <w:noWrap w:val="0"/>
            <w:vAlign w:val="top"/>
          </w:tcPr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对比各投标人服务进度及控制措施：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根据本项目各专业的特点结合自身专业技术力量等编写业务概况、专业分工、要求、实施计划等。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1</w:t>
            </w:r>
            <w:r>
              <w:rPr>
                <w:rFonts w:hint="eastAsia" w:ascii="宋体" w:hAnsi="宋体" w:cs="宋体"/>
                <w:szCs w:val="21"/>
              </w:rPr>
              <w:t>）方案完善，表述合理、清晰、有针对性，能完全满足项目要求的，得</w:t>
            </w:r>
            <w:r>
              <w:rPr>
                <w:rFonts w:ascii="宋体" w:hAnsi="宋体" w:cs="宋体"/>
                <w:szCs w:val="21"/>
              </w:rPr>
              <w:t xml:space="preserve"> 1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）方案较完善，能较好满足项目要求的，得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3</w:t>
            </w:r>
            <w:r>
              <w:rPr>
                <w:rFonts w:hint="eastAsia" w:ascii="宋体" w:hAnsi="宋体" w:cs="宋体"/>
                <w:szCs w:val="21"/>
              </w:rPr>
              <w:t>）方案较完整，基本满足项目要求的，得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>；</w:t>
            </w:r>
          </w:p>
          <w:p>
            <w:pPr>
              <w:spacing w:line="276" w:lineRule="auto"/>
              <w:ind w:right="-23"/>
              <w:rPr>
                <w:rFonts w:hint="eastAsia" w:ascii="仿宋" w:hAnsi="仿宋" w:eastAsia="仿宋"/>
                <w:color w:val="auto"/>
                <w:spacing w:val="20"/>
                <w:sz w:val="24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4</w:t>
            </w:r>
            <w:r>
              <w:rPr>
                <w:rFonts w:hint="eastAsia" w:ascii="宋体" w:hAnsi="宋体" w:cs="宋体"/>
                <w:szCs w:val="21"/>
              </w:rPr>
              <w:t>）方案不合理，难以满足项目要求的，得</w:t>
            </w:r>
            <w:r>
              <w:rPr>
                <w:rFonts w:ascii="宋体" w:hAnsi="宋体" w:cs="宋体"/>
                <w:szCs w:val="21"/>
              </w:rPr>
              <w:t xml:space="preserve"> 0</w:t>
            </w:r>
            <w:r>
              <w:rPr>
                <w:rFonts w:hint="eastAsia" w:ascii="宋体" w:hAnsi="宋体" w:cs="宋体"/>
                <w:szCs w:val="21"/>
              </w:rPr>
              <w:t>分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>；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15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380" w:type="dxa"/>
            <w:vMerge w:val="continue"/>
            <w:noWrap w:val="0"/>
            <w:vAlign w:val="center"/>
          </w:tcPr>
          <w:p>
            <w:pPr>
              <w:spacing w:line="276" w:lineRule="auto"/>
              <w:ind w:right="-23"/>
              <w:jc w:val="center"/>
              <w:rPr>
                <w:rFonts w:hint="eastAsia" w:ascii="仿宋" w:hAnsi="仿宋" w:eastAsia="仿宋"/>
                <w:b/>
                <w:color w:val="auto"/>
                <w:spacing w:val="20"/>
                <w:sz w:val="24"/>
                <w:lang w:eastAsia="zh-CN"/>
              </w:rPr>
            </w:pPr>
          </w:p>
        </w:tc>
        <w:tc>
          <w:tcPr>
            <w:tcW w:w="7410" w:type="dxa"/>
            <w:noWrap w:val="0"/>
            <w:vAlign w:val="top"/>
          </w:tcPr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考查、对比重点、难点分析是否全面、合理，应对措施是否得当、科学、是否有针对性：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1</w:t>
            </w:r>
            <w:r>
              <w:rPr>
                <w:rFonts w:hint="eastAsia" w:ascii="宋体" w:hAnsi="宋体" w:cs="宋体"/>
                <w:szCs w:val="21"/>
              </w:rPr>
              <w:t>）重点、难点分析全面、合理，应对措施具体、针对性强的，得</w:t>
            </w:r>
            <w:r>
              <w:rPr>
                <w:rFonts w:ascii="宋体" w:hAnsi="宋体" w:cs="宋体"/>
                <w:szCs w:val="21"/>
              </w:rPr>
              <w:t xml:space="preserve"> 1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）重点、难点分析较全面，应对措施较具体，针对性较强的，得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3</w:t>
            </w:r>
            <w:r>
              <w:rPr>
                <w:rFonts w:hint="eastAsia" w:ascii="宋体" w:hAnsi="宋体" w:cs="宋体"/>
                <w:szCs w:val="21"/>
              </w:rPr>
              <w:t>）重点、难点分析基本完整，应对措施针对性不强的，得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276" w:lineRule="auto"/>
              <w:ind w:right="-23"/>
              <w:rPr>
                <w:rFonts w:hint="eastAsia" w:ascii="仿宋" w:hAnsi="仿宋" w:eastAsia="仿宋"/>
                <w:color w:val="auto"/>
                <w:spacing w:val="20"/>
                <w:sz w:val="24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4</w:t>
            </w:r>
            <w:r>
              <w:rPr>
                <w:rFonts w:hint="eastAsia" w:ascii="宋体" w:hAnsi="宋体" w:cs="宋体"/>
                <w:szCs w:val="21"/>
              </w:rPr>
              <w:t>）重点、难点分析不全面或无，应对措施不具体，无针对性，得</w:t>
            </w:r>
            <w:r>
              <w:rPr>
                <w:rFonts w:ascii="宋体" w:hAnsi="宋体" w:cs="宋体"/>
                <w:szCs w:val="21"/>
              </w:rPr>
              <w:t>0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ind w:firstLine="210" w:firstLineChars="1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15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380" w:type="dxa"/>
            <w:vMerge w:val="continue"/>
            <w:noWrap w:val="0"/>
            <w:vAlign w:val="center"/>
          </w:tcPr>
          <w:p>
            <w:pPr>
              <w:spacing w:line="276" w:lineRule="auto"/>
              <w:ind w:right="-23"/>
              <w:jc w:val="center"/>
              <w:rPr>
                <w:rFonts w:hint="eastAsia" w:ascii="仿宋" w:hAnsi="仿宋" w:eastAsia="仿宋"/>
                <w:b/>
                <w:color w:val="auto"/>
                <w:spacing w:val="20"/>
                <w:sz w:val="24"/>
                <w:lang w:eastAsia="zh-CN"/>
              </w:rPr>
            </w:pPr>
          </w:p>
        </w:tc>
        <w:tc>
          <w:tcPr>
            <w:tcW w:w="7410" w:type="dxa"/>
            <w:noWrap w:val="0"/>
            <w:vAlign w:val="top"/>
          </w:tcPr>
          <w:p>
            <w:pPr>
              <w:spacing w:line="420" w:lineRule="exac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考查、对比成果质量保证措施：</w:t>
            </w:r>
          </w:p>
          <w:p>
            <w:pPr>
              <w:spacing w:line="420" w:lineRule="exac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1</w:t>
            </w:r>
            <w:r>
              <w:rPr>
                <w:rFonts w:hint="eastAsia" w:ascii="宋体" w:hAnsi="宋体" w:cs="宋体"/>
                <w:szCs w:val="21"/>
              </w:rPr>
              <w:t>）质量保证措施完善具体、针对性强的，得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420" w:lineRule="exac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）质量保证措施较具体，针对性较强的，得</w:t>
            </w:r>
            <w:r>
              <w:rPr>
                <w:rFonts w:ascii="宋体" w:hAnsi="宋体" w:cs="宋体"/>
                <w:szCs w:val="21"/>
              </w:rPr>
              <w:t xml:space="preserve"> 6</w:t>
            </w:r>
            <w:r>
              <w:rPr>
                <w:rFonts w:hint="eastAsia" w:ascii="宋体" w:hAnsi="宋体" w:cs="宋体"/>
                <w:szCs w:val="21"/>
              </w:rPr>
              <w:t>分；</w:t>
            </w:r>
          </w:p>
          <w:p>
            <w:pPr>
              <w:spacing w:line="420" w:lineRule="exac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3</w:t>
            </w:r>
            <w:r>
              <w:rPr>
                <w:rFonts w:hint="eastAsia" w:ascii="宋体" w:hAnsi="宋体" w:cs="宋体"/>
                <w:szCs w:val="21"/>
              </w:rPr>
              <w:t>）质量保证措施基本完整，针对性不强的，得</w:t>
            </w:r>
            <w:r>
              <w:rPr>
                <w:rFonts w:ascii="宋体" w:hAnsi="宋体" w:cs="宋体"/>
                <w:szCs w:val="21"/>
              </w:rPr>
              <w:t xml:space="preserve"> 4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  <w:p>
            <w:pPr>
              <w:spacing w:line="420" w:lineRule="exac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4</w:t>
            </w:r>
            <w:r>
              <w:rPr>
                <w:rFonts w:hint="eastAsia" w:ascii="宋体" w:hAnsi="宋体" w:cs="宋体"/>
                <w:szCs w:val="21"/>
              </w:rPr>
              <w:t>）质量保证措施不具体，无针对性的，得</w:t>
            </w:r>
            <w:r>
              <w:rPr>
                <w:rFonts w:ascii="宋体" w:hAnsi="宋体" w:cs="宋体"/>
                <w:szCs w:val="21"/>
              </w:rPr>
              <w:t xml:space="preserve"> 2</w:t>
            </w:r>
            <w:r>
              <w:rPr>
                <w:rFonts w:hint="eastAsia" w:ascii="宋体" w:hAnsi="宋体" w:cs="宋体"/>
                <w:szCs w:val="21"/>
              </w:rPr>
              <w:t>分。</w:t>
            </w:r>
          </w:p>
          <w:p>
            <w:pPr>
              <w:spacing w:line="276" w:lineRule="auto"/>
              <w:ind w:right="-23"/>
              <w:rPr>
                <w:rFonts w:hint="eastAsia" w:ascii="仿宋" w:hAnsi="仿宋" w:eastAsia="仿宋"/>
                <w:color w:val="auto"/>
                <w:spacing w:val="20"/>
                <w:sz w:val="24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）其它不得分。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ind w:firstLine="210" w:firstLineChars="100"/>
              <w:jc w:val="left"/>
              <w:rPr>
                <w:rFonts w:hint="default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10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380" w:type="dxa"/>
            <w:noWrap w:val="0"/>
            <w:vAlign w:val="center"/>
          </w:tcPr>
          <w:p>
            <w:pPr>
              <w:spacing w:line="276" w:lineRule="auto"/>
              <w:ind w:right="-23"/>
              <w:jc w:val="center"/>
              <w:rPr>
                <w:rFonts w:hint="eastAsia" w:ascii="仿宋" w:hAnsi="仿宋" w:eastAsia="仿宋"/>
                <w:b/>
                <w:color w:val="auto"/>
                <w:spacing w:val="2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color w:val="auto"/>
                <w:spacing w:val="20"/>
                <w:sz w:val="24"/>
                <w:lang w:eastAsia="zh-CN"/>
              </w:rPr>
              <w:t>合计</w:t>
            </w:r>
          </w:p>
        </w:tc>
        <w:tc>
          <w:tcPr>
            <w:tcW w:w="7410" w:type="dxa"/>
            <w:noWrap w:val="0"/>
            <w:vAlign w:val="top"/>
          </w:tcPr>
          <w:p>
            <w:pPr>
              <w:spacing w:line="276" w:lineRule="auto"/>
              <w:ind w:right="-23"/>
              <w:rPr>
                <w:rFonts w:hint="eastAsia" w:ascii="仿宋" w:hAnsi="仿宋" w:eastAsia="仿宋"/>
                <w:color w:val="auto"/>
                <w:spacing w:val="20"/>
                <w:sz w:val="24"/>
              </w:rPr>
            </w:pP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</w:p>
        </w:tc>
        <w:tc>
          <w:tcPr>
            <w:tcW w:w="840" w:type="dxa"/>
            <w:noWrap w:val="0"/>
            <w:vAlign w:val="top"/>
          </w:tcPr>
          <w:p>
            <w:pPr>
              <w:spacing w:line="276" w:lineRule="auto"/>
              <w:ind w:right="1442"/>
              <w:rPr>
                <w:rFonts w:ascii="仿宋" w:hAnsi="仿宋" w:eastAsia="仿宋"/>
                <w:b/>
                <w:color w:val="auto"/>
                <w:spacing w:val="20"/>
                <w:sz w:val="24"/>
              </w:rPr>
            </w:pPr>
          </w:p>
        </w:tc>
      </w:tr>
    </w:tbl>
    <w:p>
      <w:pPr>
        <w:spacing w:line="276" w:lineRule="auto"/>
        <w:ind w:right="-23" w:firstLine="3780" w:firstLineChars="180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EF3929"/>
    <w:multiLevelType w:val="multilevel"/>
    <w:tmpl w:val="7CEF3929"/>
    <w:lvl w:ilvl="0" w:tentative="0">
      <w:start w:val="1"/>
      <w:numFmt w:val="decimal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626F37"/>
    <w:rsid w:val="066D5824"/>
    <w:rsid w:val="0F626F37"/>
    <w:rsid w:val="13B855B7"/>
    <w:rsid w:val="31DE5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正"/>
    <w:basedOn w:val="1"/>
    <w:uiPriority w:val="0"/>
    <w:pPr>
      <w:spacing w:line="560" w:lineRule="exact"/>
      <w:ind w:firstLine="561"/>
    </w:pPr>
    <w:rPr>
      <w:rFonts w:eastAsia="仿宋_GB2312"/>
      <w:sz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405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2020-03-17T00:36:00Z</dcterms:created>
  <dc:creator>Administrator</dc:creator>
  <cp:lastModifiedBy>慧</cp:lastModifiedBy>
  <cp:lastPrinted>2020-04-27T02:04:28Z</cp:lastPrinted>
  <dcterms:modified xsi:type="dcterms:W3CDTF">2020-04-27T08:52:02Z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